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9D" w:rsidRDefault="00C1149D"/>
    <w:p w:rsidR="00C1149D" w:rsidRDefault="00C1149D"/>
    <w:p w:rsidR="00C1149D" w:rsidRDefault="00C1149D"/>
    <w:p w:rsidR="007048C0" w:rsidRDefault="0075285E">
      <w:pPr>
        <w:rPr>
          <w:b/>
          <w:u w:val="single"/>
        </w:rPr>
      </w:pPr>
      <w:r w:rsidRPr="002E0598">
        <w:rPr>
          <w:b/>
        </w:rPr>
        <w:t>Table 1:</w:t>
      </w:r>
      <w:r>
        <w:t xml:space="preserve"> </w:t>
      </w:r>
      <w:r w:rsidR="00E2713B">
        <w:t xml:space="preserve">ISS </w:t>
      </w:r>
      <w:r>
        <w:t xml:space="preserve">Program </w:t>
      </w:r>
      <w:r w:rsidR="00C1149D">
        <w:t>Res</w:t>
      </w:r>
      <w:r w:rsidR="00E2713B">
        <w:t>ource</w:t>
      </w:r>
      <w:r w:rsidR="00936AEA">
        <w:t xml:space="preserve"> Utilization Allocation </w:t>
      </w:r>
      <w:r w:rsidR="00DA428D">
        <w:t xml:space="preserve">Commitment </w:t>
      </w:r>
      <w:r>
        <w:t xml:space="preserve">to </w:t>
      </w:r>
      <w:r w:rsidR="002E337D">
        <w:t xml:space="preserve">NASA Science Mission Directorate (SMD) </w:t>
      </w:r>
      <w:r>
        <w:t>[</w:t>
      </w:r>
      <w:r w:rsidRPr="0075285E">
        <w:rPr>
          <w:b/>
          <w:color w:val="FF0000"/>
        </w:rPr>
        <w:t>Add Instrument name here</w:t>
      </w:r>
      <w:r>
        <w:t xml:space="preserve">] </w:t>
      </w:r>
      <w:r w:rsidR="002E337D">
        <w:t>investigation “</w:t>
      </w:r>
      <w:r>
        <w:t>As Not to Exceed (NTE)</w:t>
      </w:r>
      <w:r w:rsidR="002E337D">
        <w:t>”</w:t>
      </w:r>
      <w:r>
        <w:t xml:space="preserve"> Maximum Resources Allocation Cap</w:t>
      </w:r>
      <w:r w:rsidR="007D4512">
        <w:t xml:space="preserve">. </w:t>
      </w:r>
      <w:r w:rsidR="007D4512" w:rsidRPr="007D4512">
        <w:rPr>
          <w:b/>
          <w:color w:val="FF0000"/>
          <w:u w:val="single"/>
        </w:rPr>
        <w:t>NOTE</w:t>
      </w:r>
      <w:r w:rsidR="007D4512" w:rsidRPr="007D4512">
        <w:rPr>
          <w:color w:val="FF0000"/>
          <w:u w:val="single"/>
        </w:rPr>
        <w:t>:</w:t>
      </w:r>
      <w:r w:rsidR="007D4512">
        <w:t xml:space="preserve"> </w:t>
      </w:r>
      <w:r w:rsidR="007D4512" w:rsidRPr="007D4512">
        <w:rPr>
          <w:b/>
          <w:u w:val="single"/>
        </w:rPr>
        <w:t xml:space="preserve">The format of this table cannot be modified by any PI/PD team nor can the content of this table be changed </w:t>
      </w:r>
      <w:r w:rsidR="002E0598">
        <w:rPr>
          <w:b/>
          <w:u w:val="single"/>
        </w:rPr>
        <w:t xml:space="preserve">or addition made to it </w:t>
      </w:r>
      <w:r w:rsidR="007D4512" w:rsidRPr="007D4512">
        <w:rPr>
          <w:b/>
          <w:u w:val="single"/>
        </w:rPr>
        <w:t>without prior approval from the RICB Chair</w:t>
      </w:r>
    </w:p>
    <w:p w:rsidR="002E0598" w:rsidRDefault="002E0598"/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1609"/>
        <w:gridCol w:w="1128"/>
        <w:gridCol w:w="1110"/>
        <w:gridCol w:w="1970"/>
        <w:gridCol w:w="1738"/>
        <w:gridCol w:w="1795"/>
      </w:tblGrid>
      <w:tr w:rsidR="00C5150F" w:rsidRPr="006A3984" w:rsidTr="002E0598">
        <w:trPr>
          <w:tblHeader/>
          <w:jc w:val="center"/>
        </w:trPr>
        <w:tc>
          <w:tcPr>
            <w:tcW w:w="1609" w:type="dxa"/>
            <w:shd w:val="clear" w:color="auto" w:fill="5B9BD5" w:themeFill="accent1"/>
            <w:vAlign w:val="center"/>
          </w:tcPr>
          <w:p w:rsidR="00C5150F" w:rsidRPr="006A3984" w:rsidRDefault="00C5150F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ISS Resource Requested</w:t>
            </w:r>
          </w:p>
        </w:tc>
        <w:tc>
          <w:tcPr>
            <w:tcW w:w="1128" w:type="dxa"/>
            <w:shd w:val="clear" w:color="auto" w:fill="5B9BD5" w:themeFill="accent1"/>
            <w:vAlign w:val="center"/>
          </w:tcPr>
          <w:p w:rsidR="00C5150F" w:rsidRPr="006A3984" w:rsidRDefault="00C5150F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units</w:t>
            </w:r>
          </w:p>
        </w:tc>
        <w:tc>
          <w:tcPr>
            <w:tcW w:w="1110" w:type="dxa"/>
            <w:shd w:val="clear" w:color="auto" w:fill="5B9BD5" w:themeFill="accent1"/>
            <w:vAlign w:val="center"/>
          </w:tcPr>
          <w:p w:rsidR="00C5150F" w:rsidRPr="006A3984" w:rsidRDefault="00C5150F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CBE</w:t>
            </w:r>
          </w:p>
        </w:tc>
        <w:tc>
          <w:tcPr>
            <w:tcW w:w="1970" w:type="dxa"/>
            <w:shd w:val="clear" w:color="auto" w:fill="5B9BD5" w:themeFill="accent1"/>
            <w:vAlign w:val="center"/>
          </w:tcPr>
          <w:p w:rsidR="00C5150F" w:rsidRPr="006A3984" w:rsidRDefault="002E0598" w:rsidP="00F60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 w:rsidR="009729C5">
              <w:rPr>
                <w:b/>
                <w:sz w:val="18"/>
                <w:szCs w:val="18"/>
              </w:rPr>
              <w:t>MPV</w:t>
            </w:r>
          </w:p>
        </w:tc>
        <w:tc>
          <w:tcPr>
            <w:tcW w:w="1738" w:type="dxa"/>
            <w:shd w:val="clear" w:color="auto" w:fill="5B9BD5" w:themeFill="accent1"/>
            <w:vAlign w:val="center"/>
          </w:tcPr>
          <w:p w:rsidR="00C5150F" w:rsidRPr="006A3984" w:rsidRDefault="00936AEA" w:rsidP="0093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Design Margin % </w:t>
            </w:r>
          </w:p>
        </w:tc>
        <w:tc>
          <w:tcPr>
            <w:tcW w:w="1795" w:type="dxa"/>
            <w:shd w:val="clear" w:color="auto" w:fill="5B9BD5" w:themeFill="accent1"/>
            <w:vAlign w:val="center"/>
          </w:tcPr>
          <w:p w:rsidR="00C5150F" w:rsidRPr="006A3984" w:rsidRDefault="00936AEA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Comment</w:t>
            </w:r>
          </w:p>
        </w:tc>
      </w:tr>
      <w:tr w:rsidR="00C5150F" w:rsidRPr="001B6610" w:rsidTr="00C5150F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FHA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Date/year</w:t>
            </w:r>
          </w:p>
        </w:tc>
        <w:tc>
          <w:tcPr>
            <w:tcW w:w="6613" w:type="dxa"/>
            <w:gridSpan w:val="4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5150F" w:rsidRPr="001B1E20" w:rsidTr="00C5150F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Site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N/A</w:t>
            </w:r>
          </w:p>
        </w:tc>
        <w:tc>
          <w:tcPr>
            <w:tcW w:w="6613" w:type="dxa"/>
            <w:gridSpan w:val="4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5150F" w:rsidRPr="006A3984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Mass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Kg</w:t>
            </w:r>
          </w:p>
        </w:tc>
        <w:tc>
          <w:tcPr>
            <w:tcW w:w="1110" w:type="dxa"/>
            <w:vAlign w:val="center"/>
          </w:tcPr>
          <w:p w:rsidR="00C5150F" w:rsidRPr="006A3984" w:rsidRDefault="00C5150F" w:rsidP="00F60E4E">
            <w:pPr>
              <w:rPr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C5150F" w:rsidRPr="006A3984" w:rsidRDefault="00C5150F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5150F" w:rsidRPr="006A3984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744FCD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C5150F" w:rsidRPr="006A3984">
              <w:rPr>
                <w:sz w:val="18"/>
                <w:szCs w:val="18"/>
              </w:rPr>
              <w:t>Peak Power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110" w:type="dxa"/>
            <w:vAlign w:val="center"/>
          </w:tcPr>
          <w:p w:rsidR="00C5150F" w:rsidRDefault="00C5150F" w:rsidP="00C5150F"/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</w:tr>
      <w:tr w:rsidR="00C5150F" w:rsidRPr="006A3984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744FCD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**Nominal</w:t>
            </w:r>
            <w:r w:rsidR="00C5150F" w:rsidRPr="006A3984">
              <w:rPr>
                <w:sz w:val="18"/>
                <w:szCs w:val="18"/>
              </w:rPr>
              <w:t xml:space="preserve"> Power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110" w:type="dxa"/>
            <w:vAlign w:val="center"/>
          </w:tcPr>
          <w:p w:rsidR="00C5150F" w:rsidRDefault="00C5150F" w:rsidP="00C5150F"/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</w:tr>
      <w:tr w:rsidR="00C5150F" w:rsidRPr="006A3984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936AEA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On-Orbit </w:t>
            </w:r>
            <w:r w:rsidR="00C5150F" w:rsidRPr="006A3984">
              <w:rPr>
                <w:sz w:val="18"/>
                <w:szCs w:val="18"/>
              </w:rPr>
              <w:t>Survival Power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110" w:type="dxa"/>
            <w:vAlign w:val="center"/>
          </w:tcPr>
          <w:p w:rsidR="00C5150F" w:rsidRDefault="00C5150F" w:rsidP="00C5150F">
            <w:pPr>
              <w:jc w:val="center"/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6A3984" w:rsidRDefault="00C5150F" w:rsidP="00C5150F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C5150F" w:rsidRPr="006A3984" w:rsidRDefault="00C5150F" w:rsidP="00C5150F">
            <w:pPr>
              <w:rPr>
                <w:sz w:val="18"/>
                <w:szCs w:val="18"/>
              </w:rPr>
            </w:pPr>
          </w:p>
        </w:tc>
      </w:tr>
      <w:tr w:rsidR="00936AEA" w:rsidRPr="006A3984" w:rsidTr="00936AEA">
        <w:trPr>
          <w:jc w:val="center"/>
        </w:trPr>
        <w:tc>
          <w:tcPr>
            <w:tcW w:w="1609" w:type="dxa"/>
            <w:vAlign w:val="center"/>
          </w:tcPr>
          <w:p w:rsidR="00936AEA" w:rsidRPr="006A3984" w:rsidRDefault="00936AEA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Launch Vehicle Survival Power</w:t>
            </w:r>
          </w:p>
        </w:tc>
        <w:tc>
          <w:tcPr>
            <w:tcW w:w="1128" w:type="dxa"/>
            <w:vAlign w:val="center"/>
          </w:tcPr>
          <w:p w:rsidR="00936AEA" w:rsidRDefault="00936AEA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Watt</w:t>
            </w:r>
          </w:p>
        </w:tc>
        <w:tc>
          <w:tcPr>
            <w:tcW w:w="1110" w:type="dxa"/>
            <w:vAlign w:val="center"/>
          </w:tcPr>
          <w:p w:rsidR="00936AEA" w:rsidRDefault="00936AEA" w:rsidP="00C5150F">
            <w:pPr>
              <w:jc w:val="center"/>
            </w:pPr>
          </w:p>
        </w:tc>
        <w:tc>
          <w:tcPr>
            <w:tcW w:w="1970" w:type="dxa"/>
            <w:vAlign w:val="center"/>
          </w:tcPr>
          <w:p w:rsidR="00936AEA" w:rsidRPr="006A3984" w:rsidRDefault="00936AEA" w:rsidP="00C5150F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936AEA" w:rsidRPr="006A3984" w:rsidRDefault="00936AEA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936AEA" w:rsidRPr="006A3984" w:rsidRDefault="00936AEA" w:rsidP="00C5150F">
            <w:pPr>
              <w:jc w:val="center"/>
              <w:rPr>
                <w:sz w:val="18"/>
                <w:szCs w:val="18"/>
              </w:rPr>
            </w:pPr>
          </w:p>
        </w:tc>
      </w:tr>
      <w:tr w:rsidR="00C5150F" w:rsidRPr="006A3984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274BFB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+Nominal</w:t>
            </w:r>
            <w:r w:rsidR="00C5150F" w:rsidRPr="006A3984">
              <w:rPr>
                <w:sz w:val="18"/>
                <w:szCs w:val="18"/>
              </w:rPr>
              <w:t xml:space="preserve"> Data</w:t>
            </w:r>
            <w:r>
              <w:rPr>
                <w:sz w:val="18"/>
                <w:szCs w:val="18"/>
              </w:rPr>
              <w:t xml:space="preserve"> Rate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6A3984">
              <w:rPr>
                <w:sz w:val="18"/>
                <w:szCs w:val="18"/>
              </w:rPr>
              <w:t>bps</w:t>
            </w:r>
          </w:p>
        </w:tc>
        <w:tc>
          <w:tcPr>
            <w:tcW w:w="1110" w:type="dxa"/>
            <w:vAlign w:val="center"/>
          </w:tcPr>
          <w:p w:rsidR="00C5150F" w:rsidRDefault="00C5150F" w:rsidP="00C5150F">
            <w:pPr>
              <w:jc w:val="center"/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</w:tr>
      <w:tr w:rsidR="00C5150F" w:rsidRPr="006A3984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Peak Data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6A3984">
              <w:rPr>
                <w:sz w:val="18"/>
                <w:szCs w:val="18"/>
              </w:rPr>
              <w:t>bps</w:t>
            </w:r>
          </w:p>
        </w:tc>
        <w:tc>
          <w:tcPr>
            <w:tcW w:w="1110" w:type="dxa"/>
            <w:vAlign w:val="center"/>
          </w:tcPr>
          <w:p w:rsidR="00C5150F" w:rsidRDefault="00C5150F" w:rsidP="00C5150F">
            <w:pPr>
              <w:jc w:val="center"/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</w:tr>
      <w:tr w:rsidR="00C5150F" w:rsidRPr="006A3984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Data Volume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</w:t>
            </w:r>
            <w:r w:rsidRPr="006A3984">
              <w:rPr>
                <w:sz w:val="18"/>
                <w:szCs w:val="18"/>
              </w:rPr>
              <w:t>/day</w:t>
            </w:r>
          </w:p>
        </w:tc>
        <w:tc>
          <w:tcPr>
            <w:tcW w:w="1110" w:type="dxa"/>
            <w:vAlign w:val="center"/>
          </w:tcPr>
          <w:p w:rsidR="00C5150F" w:rsidRDefault="00C5150F" w:rsidP="00C5150F">
            <w:pPr>
              <w:jc w:val="center"/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</w:tr>
      <w:tr w:rsidR="00C5150F" w:rsidRPr="00391DB5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Volume</w:t>
            </w:r>
            <w:r w:rsidR="00936AEA">
              <w:rPr>
                <w:sz w:val="18"/>
                <w:szCs w:val="18"/>
              </w:rPr>
              <w:t xml:space="preserve"> at </w:t>
            </w:r>
            <w:r>
              <w:rPr>
                <w:sz w:val="18"/>
                <w:szCs w:val="18"/>
              </w:rPr>
              <w:t>Launch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proofErr w:type="spellStart"/>
            <w:r w:rsidRPr="006A3984">
              <w:rPr>
                <w:sz w:val="18"/>
                <w:szCs w:val="18"/>
              </w:rPr>
              <w:t>LxWxH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6A3984">
              <w:rPr>
                <w:sz w:val="18"/>
                <w:szCs w:val="18"/>
              </w:rPr>
              <w:t xml:space="preserve"> m3</w:t>
            </w:r>
          </w:p>
        </w:tc>
        <w:tc>
          <w:tcPr>
            <w:tcW w:w="1110" w:type="dxa"/>
            <w:vAlign w:val="center"/>
          </w:tcPr>
          <w:p w:rsidR="00C5150F" w:rsidRDefault="00C5150F" w:rsidP="00C5150F">
            <w:pPr>
              <w:jc w:val="center"/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391DB5" w:rsidRDefault="00C5150F" w:rsidP="00C5150F">
            <w:pPr>
              <w:rPr>
                <w:sz w:val="14"/>
                <w:szCs w:val="14"/>
              </w:rPr>
            </w:pPr>
          </w:p>
        </w:tc>
        <w:tc>
          <w:tcPr>
            <w:tcW w:w="1795" w:type="dxa"/>
          </w:tcPr>
          <w:p w:rsidR="00C5150F" w:rsidRDefault="00936AEA" w:rsidP="00C515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Launch vehicle Configuration payload volume envelope</w:t>
            </w:r>
          </w:p>
        </w:tc>
      </w:tr>
      <w:tr w:rsidR="00C5150F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936AEA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 During on-orbit Operation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LxWxH</w:t>
            </w:r>
            <w:proofErr w:type="spellEnd"/>
            <w:r>
              <w:rPr>
                <w:sz w:val="18"/>
                <w:szCs w:val="18"/>
              </w:rPr>
              <w:t>, m3</w:t>
            </w:r>
          </w:p>
        </w:tc>
        <w:tc>
          <w:tcPr>
            <w:tcW w:w="1110" w:type="dxa"/>
            <w:vAlign w:val="center"/>
          </w:tcPr>
          <w:p w:rsidR="00C5150F" w:rsidRDefault="00C5150F" w:rsidP="00C5150F">
            <w:pPr>
              <w:jc w:val="center"/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Default="00C5150F" w:rsidP="00C5150F">
            <w:pPr>
              <w:rPr>
                <w:sz w:val="14"/>
                <w:szCs w:val="14"/>
              </w:rPr>
            </w:pPr>
          </w:p>
        </w:tc>
        <w:tc>
          <w:tcPr>
            <w:tcW w:w="1795" w:type="dxa"/>
          </w:tcPr>
          <w:p w:rsidR="00C5150F" w:rsidRDefault="00936AEA" w:rsidP="00C515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On-orbit (ISS) Configuration payload volume envelope</w:t>
            </w:r>
          </w:p>
        </w:tc>
      </w:tr>
      <w:tr w:rsidR="00C5150F" w:rsidRPr="00391DB5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Thermal Interface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11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391DB5" w:rsidRDefault="00C5150F" w:rsidP="00C5150F">
            <w:pPr>
              <w:rPr>
                <w:sz w:val="14"/>
                <w:szCs w:val="14"/>
              </w:rPr>
            </w:pPr>
          </w:p>
        </w:tc>
        <w:tc>
          <w:tcPr>
            <w:tcW w:w="1795" w:type="dxa"/>
          </w:tcPr>
          <w:p w:rsidR="00C5150F" w:rsidRPr="00391DB5" w:rsidRDefault="00C5150F" w:rsidP="00C5150F">
            <w:pPr>
              <w:rPr>
                <w:sz w:val="14"/>
                <w:szCs w:val="14"/>
              </w:rPr>
            </w:pPr>
          </w:p>
        </w:tc>
      </w:tr>
      <w:tr w:rsidR="00C5150F" w:rsidRPr="00391DB5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Cooling Flow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Kg/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11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391DB5" w:rsidRDefault="00C5150F" w:rsidP="00C5150F">
            <w:pPr>
              <w:rPr>
                <w:sz w:val="14"/>
                <w:szCs w:val="14"/>
              </w:rPr>
            </w:pPr>
          </w:p>
        </w:tc>
        <w:tc>
          <w:tcPr>
            <w:tcW w:w="1795" w:type="dxa"/>
          </w:tcPr>
          <w:p w:rsidR="00C5150F" w:rsidRDefault="00936AEA" w:rsidP="00C515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If active cooling is required</w:t>
            </w:r>
          </w:p>
        </w:tc>
      </w:tr>
      <w:tr w:rsidR="00C5150F" w:rsidRPr="00391DB5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FOV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N/A</w:t>
            </w:r>
          </w:p>
        </w:tc>
        <w:tc>
          <w:tcPr>
            <w:tcW w:w="111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391DB5" w:rsidRDefault="00C5150F" w:rsidP="00C5150F">
            <w:pPr>
              <w:rPr>
                <w:sz w:val="14"/>
                <w:szCs w:val="14"/>
              </w:rPr>
            </w:pPr>
          </w:p>
        </w:tc>
        <w:tc>
          <w:tcPr>
            <w:tcW w:w="1795" w:type="dxa"/>
          </w:tcPr>
          <w:p w:rsidR="00C5150F" w:rsidRPr="00391DB5" w:rsidRDefault="00C5150F" w:rsidP="00C5150F">
            <w:pPr>
              <w:rPr>
                <w:sz w:val="14"/>
                <w:szCs w:val="14"/>
              </w:rPr>
            </w:pPr>
          </w:p>
        </w:tc>
      </w:tr>
      <w:tr w:rsidR="00C5150F" w:rsidRPr="00391DB5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Data Interface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N/A</w:t>
            </w:r>
          </w:p>
        </w:tc>
        <w:tc>
          <w:tcPr>
            <w:tcW w:w="111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391DB5" w:rsidRDefault="00C5150F" w:rsidP="00C5150F">
            <w:pPr>
              <w:rPr>
                <w:sz w:val="14"/>
                <w:szCs w:val="14"/>
              </w:rPr>
            </w:pPr>
          </w:p>
        </w:tc>
        <w:tc>
          <w:tcPr>
            <w:tcW w:w="1795" w:type="dxa"/>
          </w:tcPr>
          <w:p w:rsidR="00C5150F" w:rsidRPr="00391DB5" w:rsidRDefault="00C5150F" w:rsidP="00C5150F">
            <w:pPr>
              <w:rPr>
                <w:sz w:val="14"/>
                <w:szCs w:val="14"/>
              </w:rPr>
            </w:pPr>
          </w:p>
        </w:tc>
      </w:tr>
      <w:tr w:rsidR="00C5150F" w:rsidRPr="00391DB5" w:rsidTr="00936AEA">
        <w:trPr>
          <w:jc w:val="center"/>
        </w:trPr>
        <w:tc>
          <w:tcPr>
            <w:tcW w:w="1609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Site Occupancy Length</w:t>
            </w:r>
          </w:p>
        </w:tc>
        <w:tc>
          <w:tcPr>
            <w:tcW w:w="1128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# of years</w:t>
            </w:r>
          </w:p>
        </w:tc>
        <w:tc>
          <w:tcPr>
            <w:tcW w:w="111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</w:tcPr>
          <w:p w:rsidR="00C5150F" w:rsidRPr="00391DB5" w:rsidRDefault="00C5150F" w:rsidP="00C5150F">
            <w:pPr>
              <w:rPr>
                <w:sz w:val="14"/>
                <w:szCs w:val="14"/>
              </w:rPr>
            </w:pPr>
          </w:p>
        </w:tc>
        <w:tc>
          <w:tcPr>
            <w:tcW w:w="1795" w:type="dxa"/>
          </w:tcPr>
          <w:p w:rsidR="00C5150F" w:rsidRPr="00391DB5" w:rsidRDefault="00C5150F" w:rsidP="00C5150F">
            <w:pPr>
              <w:rPr>
                <w:sz w:val="14"/>
                <w:szCs w:val="14"/>
              </w:rPr>
            </w:pPr>
          </w:p>
        </w:tc>
      </w:tr>
      <w:tr w:rsidR="00C5150F" w:rsidRPr="006A3984" w:rsidTr="00936AEA">
        <w:trPr>
          <w:jc w:val="center"/>
        </w:trPr>
        <w:tc>
          <w:tcPr>
            <w:tcW w:w="1609" w:type="dxa"/>
            <w:shd w:val="clear" w:color="auto" w:fill="FFFFFF" w:themeFill="background1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Latency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Day/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  <w:r>
              <w:rPr>
                <w:sz w:val="18"/>
                <w:szCs w:val="18"/>
              </w:rPr>
              <w:t>/min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:rsidR="00C5150F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C5150F" w:rsidRPr="006A3984" w:rsidRDefault="00C5150F" w:rsidP="00C5150F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C5150F" w:rsidRPr="006A3984" w:rsidRDefault="00C5150F" w:rsidP="00C5150F">
            <w:pPr>
              <w:rPr>
                <w:sz w:val="18"/>
                <w:szCs w:val="18"/>
              </w:rPr>
            </w:pPr>
          </w:p>
        </w:tc>
      </w:tr>
      <w:tr w:rsidR="00C5150F" w:rsidRPr="00ED5345" w:rsidTr="00936AEA">
        <w:trPr>
          <w:jc w:val="center"/>
        </w:trPr>
        <w:tc>
          <w:tcPr>
            <w:tcW w:w="1609" w:type="dxa"/>
            <w:shd w:val="clear" w:color="auto" w:fill="FFFFFF" w:themeFill="background1"/>
            <w:vAlign w:val="center"/>
          </w:tcPr>
          <w:p w:rsidR="00C5150F" w:rsidRDefault="00C5150F" w:rsidP="00C5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Other/Ancillary 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C5150F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C5150F" w:rsidRPr="006A3984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:rsidR="00C5150F" w:rsidRDefault="00C5150F" w:rsidP="00C51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FFFFFF" w:themeFill="background1"/>
          </w:tcPr>
          <w:p w:rsidR="00C5150F" w:rsidRPr="00ED5345" w:rsidRDefault="00C5150F" w:rsidP="00C5150F">
            <w:pPr>
              <w:rPr>
                <w:sz w:val="14"/>
                <w:szCs w:val="14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C5150F" w:rsidRPr="00ED5345" w:rsidRDefault="00C5150F" w:rsidP="00C5150F">
            <w:pPr>
              <w:rPr>
                <w:sz w:val="14"/>
                <w:szCs w:val="14"/>
              </w:rPr>
            </w:pPr>
          </w:p>
        </w:tc>
      </w:tr>
      <w:tr w:rsidR="000C339E" w:rsidRPr="00ED5345" w:rsidTr="002E7897">
        <w:trPr>
          <w:jc w:val="center"/>
        </w:trPr>
        <w:tc>
          <w:tcPr>
            <w:tcW w:w="9350" w:type="dxa"/>
            <w:gridSpan w:val="6"/>
            <w:shd w:val="clear" w:color="auto" w:fill="FFFFFF" w:themeFill="background1"/>
            <w:vAlign w:val="center"/>
          </w:tcPr>
          <w:p w:rsidR="000C339E" w:rsidRPr="00ED5345" w:rsidRDefault="009729C5" w:rsidP="000C33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CBE: current best estimate; MPV: maximum possible</w:t>
            </w:r>
            <w:r w:rsidR="000C339E" w:rsidRPr="00063904">
              <w:rPr>
                <w:sz w:val="14"/>
                <w:szCs w:val="14"/>
              </w:rPr>
              <w:t xml:space="preserve"> va</w:t>
            </w:r>
            <w:r w:rsidR="000C339E">
              <w:rPr>
                <w:sz w:val="14"/>
                <w:szCs w:val="14"/>
              </w:rPr>
              <w:t>lue</w:t>
            </w:r>
            <w:r w:rsidR="000C339E" w:rsidRPr="00063904">
              <w:rPr>
                <w:sz w:val="14"/>
                <w:szCs w:val="14"/>
              </w:rPr>
              <w:t>; FHA: flight hardware availability date</w:t>
            </w:r>
          </w:p>
        </w:tc>
      </w:tr>
    </w:tbl>
    <w:p w:rsidR="00C1149D" w:rsidRDefault="00C1149D"/>
    <w:p w:rsidR="00744FCD" w:rsidRPr="007D4512" w:rsidRDefault="00744FCD" w:rsidP="00990571">
      <w:pPr>
        <w:rPr>
          <w:sz w:val="18"/>
          <w:szCs w:val="18"/>
        </w:rPr>
      </w:pPr>
      <w:r w:rsidRPr="007D4512">
        <w:rPr>
          <w:b/>
          <w:sz w:val="18"/>
          <w:szCs w:val="18"/>
        </w:rPr>
        <w:t>*Peak Power</w:t>
      </w:r>
      <w:r w:rsidRPr="007D4512">
        <w:rPr>
          <w:sz w:val="18"/>
          <w:szCs w:val="18"/>
        </w:rPr>
        <w:t xml:space="preserve"> is the </w:t>
      </w:r>
      <w:r w:rsidR="007D4512" w:rsidRPr="007D4512">
        <w:rPr>
          <w:sz w:val="18"/>
          <w:szCs w:val="18"/>
        </w:rPr>
        <w:t>maximum power draw of</w:t>
      </w:r>
      <w:r w:rsidRPr="007D4512">
        <w:rPr>
          <w:sz w:val="18"/>
          <w:szCs w:val="18"/>
        </w:rPr>
        <w:t xml:space="preserve"> the payload at any time from ISS during its on-orbit operations life cycle (excluding start up transient)</w:t>
      </w:r>
    </w:p>
    <w:p w:rsidR="00274BFB" w:rsidRPr="007D4512" w:rsidRDefault="00744FCD" w:rsidP="00990571">
      <w:pPr>
        <w:rPr>
          <w:sz w:val="18"/>
          <w:szCs w:val="18"/>
        </w:rPr>
      </w:pPr>
      <w:r w:rsidRPr="002E0598">
        <w:rPr>
          <w:b/>
          <w:sz w:val="18"/>
          <w:szCs w:val="18"/>
        </w:rPr>
        <w:t>**Nominal Power</w:t>
      </w:r>
      <w:r w:rsidRPr="007D4512">
        <w:rPr>
          <w:sz w:val="18"/>
          <w:szCs w:val="18"/>
        </w:rPr>
        <w:t xml:space="preserve"> draw is the steady </w:t>
      </w:r>
      <w:r w:rsidR="00274BFB" w:rsidRPr="007D4512">
        <w:rPr>
          <w:sz w:val="18"/>
          <w:szCs w:val="18"/>
        </w:rPr>
        <w:t xml:space="preserve">state </w:t>
      </w:r>
      <w:r w:rsidRPr="007D4512">
        <w:rPr>
          <w:sz w:val="18"/>
          <w:szCs w:val="18"/>
        </w:rPr>
        <w:t>continuous</w:t>
      </w:r>
      <w:r w:rsidR="00274BFB" w:rsidRPr="007D4512">
        <w:rPr>
          <w:sz w:val="18"/>
          <w:szCs w:val="18"/>
        </w:rPr>
        <w:t xml:space="preserve"> on-orbit operations mode of the payload</w:t>
      </w:r>
    </w:p>
    <w:p w:rsidR="00274BFB" w:rsidRPr="007D4512" w:rsidRDefault="00274BFB" w:rsidP="00990571">
      <w:pPr>
        <w:rPr>
          <w:sz w:val="18"/>
          <w:szCs w:val="18"/>
        </w:rPr>
      </w:pPr>
      <w:r w:rsidRPr="002E0598">
        <w:rPr>
          <w:b/>
          <w:sz w:val="18"/>
          <w:szCs w:val="18"/>
        </w:rPr>
        <w:t>+N</w:t>
      </w:r>
      <w:r w:rsidR="007D4512" w:rsidRPr="002E0598">
        <w:rPr>
          <w:b/>
          <w:sz w:val="18"/>
          <w:szCs w:val="18"/>
        </w:rPr>
        <w:t>ominal data</w:t>
      </w:r>
      <w:r w:rsidR="007D4512" w:rsidRPr="007D4512">
        <w:rPr>
          <w:sz w:val="18"/>
          <w:szCs w:val="18"/>
        </w:rPr>
        <w:t xml:space="preserve"> rate is the allowable</w:t>
      </w:r>
      <w:r w:rsidRPr="007D4512">
        <w:rPr>
          <w:sz w:val="18"/>
          <w:szCs w:val="18"/>
        </w:rPr>
        <w:t xml:space="preserve"> payload daily data rate</w:t>
      </w:r>
    </w:p>
    <w:p w:rsidR="00744FCD" w:rsidRPr="007D4512" w:rsidRDefault="00274BFB" w:rsidP="00990571">
      <w:pPr>
        <w:rPr>
          <w:sz w:val="18"/>
          <w:szCs w:val="18"/>
        </w:rPr>
      </w:pPr>
      <w:r w:rsidRPr="002E0598">
        <w:rPr>
          <w:b/>
          <w:sz w:val="18"/>
          <w:szCs w:val="18"/>
        </w:rPr>
        <w:t>++Peak data</w:t>
      </w:r>
      <w:r w:rsidRPr="007D4512">
        <w:rPr>
          <w:sz w:val="18"/>
          <w:szCs w:val="18"/>
        </w:rPr>
        <w:t xml:space="preserve"> </w:t>
      </w:r>
      <w:r w:rsidR="007D4512" w:rsidRPr="007D4512">
        <w:rPr>
          <w:sz w:val="18"/>
          <w:szCs w:val="18"/>
        </w:rPr>
        <w:t xml:space="preserve">rate </w:t>
      </w:r>
      <w:r w:rsidRPr="007D4512">
        <w:rPr>
          <w:sz w:val="18"/>
          <w:szCs w:val="18"/>
        </w:rPr>
        <w:t xml:space="preserve">is the maximum data rate </w:t>
      </w:r>
      <w:r w:rsidR="007D4512" w:rsidRPr="007D4512">
        <w:rPr>
          <w:sz w:val="18"/>
          <w:szCs w:val="18"/>
        </w:rPr>
        <w:t>allowable by ISSP to that payload when</w:t>
      </w:r>
      <w:r w:rsidRPr="007D4512">
        <w:rPr>
          <w:sz w:val="18"/>
          <w:szCs w:val="18"/>
        </w:rPr>
        <w:t xml:space="preserve"> needed </w:t>
      </w:r>
      <w:r w:rsidR="00744FCD" w:rsidRPr="007D4512">
        <w:rPr>
          <w:sz w:val="18"/>
          <w:szCs w:val="18"/>
        </w:rPr>
        <w:t xml:space="preserve">  </w:t>
      </w:r>
    </w:p>
    <w:p w:rsidR="00990571" w:rsidRDefault="00990571" w:rsidP="00990571">
      <w:r w:rsidRPr="002E0598">
        <w:rPr>
          <w:b/>
          <w:sz w:val="18"/>
          <w:szCs w:val="18"/>
        </w:rPr>
        <w:t>*</w:t>
      </w:r>
      <w:r w:rsidR="002E0598" w:rsidRPr="002E0598">
        <w:rPr>
          <w:b/>
          <w:sz w:val="18"/>
          <w:szCs w:val="18"/>
        </w:rPr>
        <w:t>**</w:t>
      </w:r>
      <w:r w:rsidRPr="002E0598">
        <w:rPr>
          <w:b/>
          <w:sz w:val="18"/>
          <w:szCs w:val="18"/>
        </w:rPr>
        <w:t>MPV</w:t>
      </w:r>
      <w:r w:rsidRPr="007D4512">
        <w:rPr>
          <w:sz w:val="18"/>
          <w:szCs w:val="18"/>
        </w:rPr>
        <w:t xml:space="preserve"> is the maximum resource level for any of the design parameters in this table that the</w:t>
      </w:r>
      <w:r w:rsidR="00274BFB" w:rsidRPr="007D4512">
        <w:rPr>
          <w:sz w:val="18"/>
          <w:szCs w:val="18"/>
        </w:rPr>
        <w:t xml:space="preserve"> ISS Program will allocate to that</w:t>
      </w:r>
      <w:r w:rsidRPr="007D4512">
        <w:rPr>
          <w:sz w:val="18"/>
          <w:szCs w:val="18"/>
        </w:rPr>
        <w:t xml:space="preserve"> instrument. The MPV resource level is capped by the ISS Program for the entire development and operation phases of that instrument on ISS. Please </w:t>
      </w:r>
      <w:r w:rsidRPr="007D4512">
        <w:rPr>
          <w:b/>
          <w:sz w:val="18"/>
          <w:szCs w:val="18"/>
          <w:u w:val="single"/>
        </w:rPr>
        <w:t>note</w:t>
      </w:r>
      <w:r w:rsidRPr="007D4512">
        <w:rPr>
          <w:sz w:val="18"/>
          <w:szCs w:val="18"/>
        </w:rPr>
        <w:t xml:space="preserve"> that the </w:t>
      </w:r>
      <w:r w:rsidRPr="007D4512">
        <w:rPr>
          <w:b/>
          <w:sz w:val="18"/>
          <w:szCs w:val="18"/>
          <w:u w:val="single"/>
        </w:rPr>
        <w:t>definition</w:t>
      </w:r>
      <w:r w:rsidRPr="007D4512">
        <w:rPr>
          <w:sz w:val="18"/>
          <w:szCs w:val="18"/>
        </w:rPr>
        <w:t xml:space="preserve"> of the MPV in this table by the ISS Program may be different from similar </w:t>
      </w:r>
      <w:bookmarkStart w:id="0" w:name="_GoBack"/>
      <w:bookmarkEnd w:id="0"/>
      <w:r w:rsidRPr="007D4512">
        <w:rPr>
          <w:sz w:val="18"/>
          <w:szCs w:val="18"/>
        </w:rPr>
        <w:t>word</w:t>
      </w:r>
      <w:r w:rsidR="007D4512" w:rsidRPr="007D4512">
        <w:rPr>
          <w:sz w:val="18"/>
          <w:szCs w:val="18"/>
        </w:rPr>
        <w:t>ing</w:t>
      </w:r>
      <w:r w:rsidRPr="007D4512">
        <w:rPr>
          <w:sz w:val="18"/>
          <w:szCs w:val="18"/>
        </w:rPr>
        <w:t xml:space="preserve"> in any NASA Announcement of Opportunity (AO)</w:t>
      </w:r>
      <w:r>
        <w:t xml:space="preserve">  </w:t>
      </w:r>
    </w:p>
    <w:sectPr w:rsidR="00990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9739F"/>
    <w:multiLevelType w:val="hybridMultilevel"/>
    <w:tmpl w:val="F77E2FCE"/>
    <w:lvl w:ilvl="0" w:tplc="634E415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9D"/>
    <w:rsid w:val="000C339E"/>
    <w:rsid w:val="00274BFB"/>
    <w:rsid w:val="002E0598"/>
    <w:rsid w:val="002E337D"/>
    <w:rsid w:val="007048C0"/>
    <w:rsid w:val="00744FCD"/>
    <w:rsid w:val="0075285E"/>
    <w:rsid w:val="00783A87"/>
    <w:rsid w:val="007D4512"/>
    <w:rsid w:val="007D6134"/>
    <w:rsid w:val="008B1A18"/>
    <w:rsid w:val="00936AEA"/>
    <w:rsid w:val="009729C5"/>
    <w:rsid w:val="00990571"/>
    <w:rsid w:val="00C1149D"/>
    <w:rsid w:val="00C5150F"/>
    <w:rsid w:val="00DA428D"/>
    <w:rsid w:val="00E2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41AB"/>
  <w15:chartTrackingRefBased/>
  <w15:docId w15:val="{23685C64-7D1B-4EDB-A477-779426D7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49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Jules, Kenol (JSC-OZ311)</dc:creator>
  <cp:keywords/>
  <dc:description/>
  <cp:lastModifiedBy>Jules, Kenol (JSC-OZ311)</cp:lastModifiedBy>
  <cp:revision>2</cp:revision>
  <dcterms:created xsi:type="dcterms:W3CDTF">2019-03-01T17:17:00Z</dcterms:created>
  <dcterms:modified xsi:type="dcterms:W3CDTF">2019-03-01T17:17:00Z</dcterms:modified>
</cp:coreProperties>
</file>